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178" w:rsidRPr="008B3C36" w:rsidRDefault="00572178" w:rsidP="008B3C3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572178" w:rsidRPr="008B3C36" w:rsidRDefault="00777EE9" w:rsidP="008B3C3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>Załącznik nr 1 A do Formularza ofertowego cz. I zadania</w:t>
      </w:r>
    </w:p>
    <w:p w:rsidR="00746920" w:rsidRPr="00C02CFB" w:rsidRDefault="00E47350" w:rsidP="007469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Załącznik do oferty</w:t>
      </w:r>
      <w:r w:rsidRPr="00C02CF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dla części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I</w:t>
      </w:r>
      <w:r w:rsidRPr="00C02CF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zamówienia</w:t>
      </w:r>
    </w:p>
    <w:p w:rsidR="00E47350" w:rsidRPr="00B63B95" w:rsidRDefault="00E47350" w:rsidP="008A60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3B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Arial" w:hAnsi="Times New Roman" w:cs="Times New Roman"/>
          <w:b/>
          <w:sz w:val="24"/>
          <w:szCs w:val="24"/>
        </w:rPr>
        <w:t>Z</w:t>
      </w:r>
      <w:r w:rsidRPr="00B63B95">
        <w:rPr>
          <w:rFonts w:ascii="Times New Roman" w:eastAsia="Arial" w:hAnsi="Times New Roman" w:cs="Times New Roman"/>
          <w:b/>
          <w:sz w:val="24"/>
          <w:szCs w:val="24"/>
        </w:rPr>
        <w:t>akup i dostawa</w:t>
      </w:r>
      <w:r w:rsidRPr="00B63B95">
        <w:rPr>
          <w:rFonts w:ascii="Times New Roman" w:hAnsi="Times New Roman" w:cs="Times New Roman"/>
          <w:b/>
          <w:sz w:val="24"/>
          <w:szCs w:val="24"/>
        </w:rPr>
        <w:t>, oprogramowania biurowego, materiałów szkolnych, pomocy dydaktycznych i wyposażenia pracowni do prowadzenia zajęć w</w:t>
      </w:r>
      <w:bookmarkStart w:id="0" w:name="_GoBack"/>
      <w:bookmarkEnd w:id="0"/>
    </w:p>
    <w:p w:rsidR="00E47350" w:rsidRDefault="00E47350" w:rsidP="00E473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63B95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Publiczna Szkoła Podstawowa im. D. F. Czachowskiego w </w:t>
      </w:r>
      <w:proofErr w:type="spellStart"/>
      <w:r w:rsidRPr="00B63B95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Bukównie</w:t>
      </w:r>
      <w:proofErr w:type="spellEnd"/>
    </w:p>
    <w:p w:rsidR="00E47350" w:rsidRDefault="00E47350" w:rsidP="00E473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1276"/>
        <w:gridCol w:w="992"/>
        <w:gridCol w:w="992"/>
        <w:gridCol w:w="992"/>
      </w:tblGrid>
      <w:tr w:rsidR="00746920" w:rsidTr="007469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bookmarkStart w:id="1" w:name="RANGE!A1:H27"/>
            <w:r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20" w:rsidRPr="00793ED6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46920" w:rsidRPr="00793ED6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3ED6">
              <w:rPr>
                <w:rFonts w:ascii="Times New Roman" w:hAnsi="Times New Roman" w:cs="Times New Roman"/>
                <w:b/>
                <w:bCs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netto </w:t>
            </w:r>
            <w:r>
              <w:rPr>
                <w:rFonts w:ascii="Times New Roman" w:hAnsi="Times New Roman" w:cs="Times New Roman"/>
                <w:bCs/>
                <w:szCs w:val="24"/>
              </w:rPr>
              <w:t>(za 1 sztukę/zestaw/komplet/opakowanie)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Ilość  sztuk/</w:t>
            </w:r>
          </w:p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zestawów/kompletów/</w:t>
            </w:r>
          </w:p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opakowań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Wartość razem 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Podatek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vat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(%)</w:t>
            </w:r>
          </w:p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(3x4)</w:t>
            </w:r>
          </w:p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Wartość podatku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Vat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20" w:rsidRDefault="00746920" w:rsidP="0013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Wartość razem brutto (5+7)</w:t>
            </w:r>
          </w:p>
        </w:tc>
      </w:tr>
      <w:tr w:rsidR="00746920" w:rsidRPr="00DE7EAF" w:rsidTr="00746920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20" w:rsidRPr="00793ED6" w:rsidRDefault="00746920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93ED6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20" w:rsidRPr="00DE7EAF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</w:tr>
    </w:tbl>
    <w:tbl>
      <w:tblPr>
        <w:tblStyle w:val="TableNormal"/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276"/>
        <w:gridCol w:w="992"/>
        <w:gridCol w:w="992"/>
        <w:gridCol w:w="992"/>
      </w:tblGrid>
      <w:tr w:rsidR="00746920" w:rsidRPr="008B3C36" w:rsidTr="00746920">
        <w:trPr>
          <w:trHeight w:val="481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8B3C36" w:rsidRDefault="00746920" w:rsidP="008B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3C3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0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8B3C36" w:rsidRDefault="00746920" w:rsidP="008B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8B3C36" w:rsidRDefault="00746920" w:rsidP="008B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8B3C36" w:rsidRDefault="00746920" w:rsidP="008B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0"/>
              </w:rPr>
            </w:pPr>
          </w:p>
        </w:tc>
      </w:tr>
      <w:tr w:rsidR="00746920" w:rsidRPr="001320E2" w:rsidTr="001320E2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Mapa fizyczna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1320E2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Mapa fizyczna Europy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Mapa administracyjna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E47350">
        <w:trPr>
          <w:trHeight w:val="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Mapa fizyczna Świata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Polski – ochrona przyrody i sieć 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ECONET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fizyczna Antarktydy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dwustronna - Afryka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dwustronna - Ameryka Południowa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dwustronna - Ameryka Północna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dwustronna - Australia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dwustronna - Azja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746920">
        <w:trPr>
          <w:trHeight w:val="1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Mapa krajobrazowa świata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746920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Plansza Edukacyjna</w:t>
            </w:r>
            <w:r w:rsidR="00E47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50" w:rsidRPr="008B3C36">
              <w:rPr>
                <w:rFonts w:ascii="Times New Roman" w:hAnsi="Times New Roman" w:cs="Times New Roman"/>
                <w:sz w:val="20"/>
                <w:szCs w:val="20"/>
              </w:rPr>
              <w:t>Świata - Polityczna - Wyprawy Odkrywcz</w:t>
            </w:r>
            <w:r w:rsidR="00E473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6920" w:rsidRPr="001320E2" w:rsidTr="0074692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Plansze dydaktyczne </w:t>
            </w:r>
            <w:proofErr w:type="spellStart"/>
            <w:r w:rsidR="00D7622B" w:rsidRPr="00255DCB">
              <w:rPr>
                <w:rFonts w:ascii="Times New Roman" w:hAnsi="Times New Roman" w:cs="Times New Roman"/>
                <w:sz w:val="20"/>
                <w:szCs w:val="20"/>
              </w:rPr>
              <w:t>Ukł</w:t>
            </w:r>
            <w:proofErr w:type="spellEnd"/>
            <w:r w:rsidR="00D7622B"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 s</w:t>
            </w:r>
            <w:proofErr w:type="spellStart"/>
            <w:r w:rsidR="00D7622B" w:rsidRPr="00255DCB">
              <w:rPr>
                <w:rFonts w:ascii="Times New Roman" w:hAnsi="Times New Roman" w:cs="Times New Roman"/>
                <w:sz w:val="20"/>
                <w:szCs w:val="20"/>
              </w:rPr>
              <w:t>łoneczny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920" w:rsidRPr="001320E2" w:rsidRDefault="00746920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20" w:rsidRPr="001320E2" w:rsidRDefault="00746920" w:rsidP="001320E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Atmosfera i wnętrze Ziemi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Zjawiska atmosferyczne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Piętrowość w g</w:t>
            </w:r>
            <w:r w:rsidRPr="00255DC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rach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Rośliny uprawne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Dzieje geologiczne Ziemi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Rzeźba powierzchni Ziemi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Budowa wulkanu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Drzewa liściaste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D7622B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B" w:rsidRPr="00255DCB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Drzewa iglaste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Kompas zamykany typu Azymut lub r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Piankowy model Ziemi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D7622B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 Model  typu -Ziemia i księżyc -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zr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b to sam - lub r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typu -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Ukł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adanka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wiat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równoważna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Mapa typu -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Ukł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adanka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Polska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równoważna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Skał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y i minera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ły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 – zestaw min. 50 skał w drewnianym etui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Zestaw kart edukacyjne typu  - Świat zwierząt bez tajemnic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równoważna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Skały osadowe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Skały wulkaniczne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Skały metamorficzne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D7622B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Model do rysowania mapy poziomicowej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C062C0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Pomoc dydaktyczna typu - Słońce, Ziemia, Księżyc w ruchu - lub r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Przewodnik i atlas interaktywny po Polskich Parkach Narodowych na płycie CD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Magnetyczny system słoneczny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Obieg wody w przyrodzie - model funkcjonalny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1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Zestaw 15 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bek gleb - typu - Rodzaje gleb - Pr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bki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 gleb - lub r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Cyfrowy miernik natężenia dźwięku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Miernik temperatury i wilgotności względnej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PH metr cyfrowy 2w1 z termometrem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Gra edukacyjna typu -Nasza woda - obieg wody lub r</w:t>
            </w:r>
            <w:r w:rsidRPr="001320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color w:val="020000"/>
                <w:kern w:val="1"/>
                <w:sz w:val="20"/>
                <w:szCs w:val="20"/>
                <w:u w:color="FF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Zestaw doświadczalny z wyposażeniem laboratoryjnym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</w:tr>
      <w:tr w:rsidR="00166127" w:rsidRPr="001320E2" w:rsidTr="00551354">
        <w:trPr>
          <w:trHeight w:val="30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127" w:rsidRPr="00166127" w:rsidRDefault="00166127" w:rsidP="00D76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6612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MATEMATYKA</w:t>
            </w:r>
          </w:p>
        </w:tc>
      </w:tr>
      <w:tr w:rsidR="00D7622B" w:rsidRPr="001320E2" w:rsidTr="00607928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3A6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7622B" w:rsidRPr="001320E2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Tablica z przyrządami plastikowymi magnetyczna pozioma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3A6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7622B" w:rsidRPr="001320E2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Siatki brył i figury płaskie</w:t>
              </w:r>
            </w:hyperlink>
            <w:r w:rsidR="00D7622B"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3A6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7622B" w:rsidRPr="001320E2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 xml:space="preserve">Zegar demonstracyjny </w:t>
              </w:r>
              <w:proofErr w:type="spellStart"/>
              <w:r w:rsidR="00D7622B" w:rsidRPr="001320E2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tr</w:t>
              </w:r>
              <w:proofErr w:type="spellEnd"/>
              <w:r w:rsidR="00D7622B" w:rsidRPr="001320E2">
                <w:rPr>
                  <w:rStyle w:val="Brak"/>
                  <w:rFonts w:ascii="Times New Roman" w:hAnsi="Times New Roman" w:cs="Times New Roman"/>
                  <w:sz w:val="20"/>
                  <w:szCs w:val="20"/>
                  <w:lang w:val="es-ES_tradnl"/>
                </w:rPr>
                <w:t>ó</w:t>
              </w:r>
              <w:proofErr w:type="spellStart"/>
              <w:r w:rsidR="00D7622B" w:rsidRPr="001320E2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jtarczowy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typu - Piramida matematyczna mała Tabliczka mnożenia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864107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typu - Piramida matematyczna duża-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864107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it-IT"/>
              </w:rPr>
              <w:t>Gra typu -Domino por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wnujemy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objętości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Gra typu - Domino - skracanie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ułamk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w- 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864107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edukacyjny - typu - Lizaki matematyczne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864107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Bryły geometryczne i ich siatki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brył – objętość, masa, kształt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Duż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da-DK"/>
              </w:rPr>
              <w:t>e bry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ły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geometryczne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Zegary - zestaw klasowy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Zestaw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klock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 magnetycznych.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color w:val="auto"/>
                <w:sz w:val="20"/>
                <w:szCs w:val="20"/>
                <w:u w:color="FF0000"/>
              </w:rPr>
              <w:t xml:space="preserve">Zestaw gier matematycznych typu </w:t>
            </w:r>
            <w:r w:rsidRPr="00132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Matematyka na planszy - lub równoważny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60B3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u w:color="FF000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Gra typu - Domino 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– ułamki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Prostokątny układ współrzędnych - magnetyczny.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dydaktyczna typu - Pakiet do rachunku prawdopodobieństwa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Gra typu - Domino mnożenie i dzielenie-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Puzzle typu - Drewniana mozaika matematyczna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wnoważne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Układanka typu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Figury i kolory 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8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dydaktyczna typu - Fiszki m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wiące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– pierwiastkowanie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Kalkulator szkolny - komplet klasowy w pojemniku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Kostka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sudoku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60B3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Plansza dydaktyczna - Jednostki miar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Zabawa naukowa typu - Magia matematyki – zabawa naukowa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Gra logiczna typu -Kubik –lub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60B3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Matematyka na wesoło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Matematyka na wesoło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pStyle w:val="Nagwek1"/>
              <w:shd w:val="clear" w:color="auto" w:fill="FFFFFF"/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edukacyjna typu - Pieniądze monety i banknoty - lub 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60B3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typu - Piramida matematyczna mała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60B3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typu - Piramida matematyczna M2 -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F060B3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Pomoc typu - </w:t>
            </w:r>
            <w:r w:rsidRPr="00F060B3">
              <w:rPr>
                <w:rStyle w:val="Hyperlink0"/>
                <w:rFonts w:ascii="Times New Roman" w:hAnsi="Times New Roman" w:cs="Times New Roman"/>
                <w:bCs/>
                <w:sz w:val="20"/>
                <w:szCs w:val="20"/>
              </w:rPr>
              <w:t xml:space="preserve">Magiczny </w:t>
            </w:r>
            <w:proofErr w:type="spellStart"/>
            <w:r w:rsidRPr="00F060B3">
              <w:rPr>
                <w:rStyle w:val="Hyperlink0"/>
                <w:rFonts w:ascii="Times New Roman" w:hAnsi="Times New Roman" w:cs="Times New Roman"/>
                <w:bCs/>
                <w:sz w:val="20"/>
                <w:szCs w:val="20"/>
              </w:rPr>
              <w:t>tr</w:t>
            </w:r>
            <w:proofErr w:type="spellEnd"/>
            <w:r w:rsidRPr="00F060B3">
              <w:rPr>
                <w:rStyle w:val="Brak"/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ó</w:t>
            </w:r>
            <w:r w:rsidRPr="00F060B3">
              <w:rPr>
                <w:rStyle w:val="Brak"/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jk</w:t>
            </w:r>
            <w:proofErr w:type="spellStart"/>
            <w:r w:rsidRPr="00F060B3">
              <w:rPr>
                <w:rStyle w:val="Hyperlink0"/>
                <w:rFonts w:ascii="Times New Roman" w:hAnsi="Times New Roman" w:cs="Times New Roman"/>
                <w:bCs/>
                <w:sz w:val="20"/>
                <w:szCs w:val="20"/>
              </w:rPr>
              <w:t>ąt</w:t>
            </w:r>
            <w:proofErr w:type="spellEnd"/>
            <w:r w:rsidRPr="00F060B3">
              <w:rPr>
                <w:rStyle w:val="Hyperlink0"/>
                <w:rFonts w:ascii="Times New Roman" w:hAnsi="Times New Roman" w:cs="Times New Roman"/>
                <w:bCs/>
                <w:sz w:val="20"/>
                <w:szCs w:val="20"/>
              </w:rPr>
              <w:t xml:space="preserve"> z kartami zadań </w:t>
            </w:r>
            <w:r w:rsidRPr="00F060B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- lub r</w:t>
            </w:r>
            <w:r w:rsidRPr="00F060B3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F060B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551354">
        <w:trPr>
          <w:trHeight w:val="197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u w:color="333333"/>
                <w:shd w:val="clear" w:color="auto" w:fill="FFFFFF"/>
              </w:rPr>
              <w:t>Biologia. Plansze interaktywne.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86410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typu - Multimedialny atlas zwierząt - Kręgowce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1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Pomoc typu - Multimedialny atlas anatomiczny. </w:t>
            </w:r>
          </w:p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Tajemnice ciała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typu -  Parki narodowe i inne formy ochrony przyrody w Polsce (płyta CD)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podstawowy szkła i wyposażenia laboratoryjnego.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przyrząd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w laboratoryjnych 5 – 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fr-FR"/>
              </w:rPr>
              <w:t>element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odczynnik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 do nauki biologii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Paski wskaźnikowe PH 1-14.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de-DE"/>
              </w:rPr>
              <w:t>Pipeta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de-DE"/>
              </w:rPr>
              <w:t>Pasteura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3ML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864107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 xml:space="preserve">1 </w:t>
            </w:r>
            <w:r w:rsidR="00D7622B"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Bagietka szklana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Szalka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Petriego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szklana (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borokrzemianowa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Szkiełko zegarkowe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Moździerz szorstki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551354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Lejek plastikowy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Łapka do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wek drewniana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Parownica porcelanowa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Łyżeczka do spalania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Szklany palnik spirytusowy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Menzurki pomiarowe zestaw 7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Cylinder miarowy 100 ml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.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551354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Cylinder miarowy 50 ml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.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551354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  <w:t>1</w:t>
            </w:r>
            <w:r w:rsidR="00D7622B"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pt-PT"/>
              </w:rPr>
            </w:pPr>
          </w:p>
        </w:tc>
      </w:tr>
      <w:tr w:rsidR="00D7622B" w:rsidRPr="001320E2" w:rsidTr="00746920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Sączki laboratoryjne 125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Naczynie połączone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Termometr uczniowski -30 do +120 st.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nl-NL"/>
              </w:rPr>
              <w:t>Mikroskop r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ęczny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30x podświetlony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74692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Mikroskop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Levenhuk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Rainbov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D2L Moonstone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Szkiełko nakrywkowe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Szkiełko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Pomoc typu - Pudełko z 3 lupami do obserwacji okaz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Lupa podświetlana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Pakiet edukacyjny do obserwacji leśnych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Zestaw do poławiania i oznaczania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bezkręgowc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Pomoc typu  - Worek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mł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odego entomologa 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– poszukiwacza owad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-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równoważny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  <w:lang w:val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Szkielet człowieka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Model funkcjonalny płuc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Model - Higiena jamy ustnej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Model - Układ mięśniowy człowieka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Model serca ludzkiego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607928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Model przestrzenny – Krab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Model przestrzenny – 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nl-NL"/>
              </w:rPr>
              <w:t>Krewetka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Model przestrzenny - Sosna –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rozw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Model przestrzenny - Typy blaszki liściowej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7622B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Model przestrzenny - Liść struktura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2B" w:rsidRPr="001320E2" w:rsidRDefault="00D7622B" w:rsidP="00D7622B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>Plansza - Systematyka roślin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Brak"/>
                <w:rFonts w:ascii="Times New Roman" w:hAnsi="Times New Roman" w:cs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>Plansza</w:t>
            </w: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 Budowa i rodzaje korzeni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Brak"/>
                <w:rFonts w:ascii="Times New Roman" w:hAnsi="Times New Roman" w:cs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>Plansza</w:t>
            </w: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 Budowa rośliny i proces fotosyntezy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Brak"/>
                <w:rFonts w:ascii="Times New Roman" w:hAnsi="Times New Roman" w:cs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 xml:space="preserve">Plansza </w:t>
            </w: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>Muszle ślimaków i małż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Brak"/>
                <w:rFonts w:ascii="Times New Roman" w:hAnsi="Times New Roman" w:cs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 xml:space="preserve">Plansza </w:t>
            </w: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>Drzewa iglaste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Brak"/>
                <w:rFonts w:ascii="Times New Roman" w:hAnsi="Times New Roman" w:cs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>Plansza</w:t>
            </w: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Drzewa liściaste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>Grzyby jadalne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>Model przestrzenny - Łodyga rośliny jednoliściennej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>Model przestrzenny - Łodyga rośliny dwuliściennej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F05BE7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BE7">
              <w:rPr>
                <w:rStyle w:val="Hyperlink0"/>
                <w:rFonts w:ascii="Times New Roman" w:hAnsi="Times New Roman" w:cs="Times New Roman"/>
                <w:color w:val="auto"/>
                <w:sz w:val="20"/>
                <w:szCs w:val="20"/>
              </w:rPr>
              <w:t>Tors z głową naturalnej wielkości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481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Gra plenerowa dla dzieci typu -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Outdoor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Game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Jump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and Talk – Skacz i m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>Gra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>typu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 xml:space="preserve"> - Outdoor Game Present Simple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>orContinuous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 xml:space="preserve"> 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– Odgadnij czasy teraźniejsze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Gra pamięciowa typu - Memory Game – Town. 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Gra pamięciowa typu-  Memory Game –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Clothes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NormalnyWeb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6612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Gra pamięciowa typu- Memory Game – House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Gra pamięciowa typu-Memory Game – 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fr-FR"/>
              </w:rPr>
              <w:t>Nature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Gra pamięciowa typu Memory Game – Supermarket - House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Program edukacyjny typu - Języki Bez Problemu! – Angielski Programy edukacyjne do nauki angielskiego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055427">
            <w:pPr>
              <w:pStyle w:val="DomylneA"/>
              <w:suppressAutoHyphens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Pomoc dydaktyczna typu - Tęczowe mikrofony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Pomoc dydaktyczna typu - Angielski Karty dla dzieci - 100 pierwszych zdań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Pomoc dydaktyczna typu - Interaktywna ściana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Gra typu -  Sowa Samogłosek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607928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Puzzle angielskie typu – liczba mnoga i pojedyncza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wnoważne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Pomoc dydaktyczna typu - Czasowniki po angielsku – Zdjęcia.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wnoważne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Nakładanka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– Zegar.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Parawan teatrzyk – typu English School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Komplet pacynek z torbą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Multimedialny program edukacyjny typu -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Didakta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– język angielski 1 – początkujący SP/GM.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Multimedialny program edukacyjny</w:t>
            </w:r>
            <w:r w:rsidRPr="001320E2">
              <w:rPr>
                <w:rStyle w:val="Brak"/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Pr="00055427">
              <w:rPr>
                <w:rStyle w:val="Brak"/>
                <w:rFonts w:ascii="Times New Roman" w:hAnsi="Times New Roman" w:cs="Times New Roman"/>
                <w:bCs/>
                <w:kern w:val="3"/>
                <w:sz w:val="20"/>
                <w:szCs w:val="20"/>
              </w:rPr>
              <w:t xml:space="preserve">typu - </w:t>
            </w:r>
            <w:proofErr w:type="spellStart"/>
            <w:r w:rsidRPr="00055427">
              <w:rPr>
                <w:rStyle w:val="Brak"/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Didakta</w:t>
            </w:r>
            <w:proofErr w:type="spellEnd"/>
            <w:r w:rsidRPr="00055427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– język angielski 2 – zaawansowany SP/GM - lub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3"/>
                <w:sz w:val="20"/>
                <w:szCs w:val="20"/>
              </w:rPr>
              <w:t xml:space="preserve">Gra typu  - English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kern w:val="3"/>
                <w:sz w:val="20"/>
                <w:szCs w:val="20"/>
              </w:rPr>
              <w:t>Eater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kern w:val="3"/>
                <w:sz w:val="20"/>
                <w:szCs w:val="20"/>
              </w:rPr>
              <w:t xml:space="preserve"> "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kern w:val="3"/>
                <w:sz w:val="20"/>
                <w:szCs w:val="20"/>
              </w:rPr>
              <w:t>Chatter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kern w:val="3"/>
                <w:sz w:val="20"/>
                <w:szCs w:val="20"/>
              </w:rPr>
              <w:t>" - lub r</w:t>
            </w:r>
            <w:r w:rsidRPr="001320E2">
              <w:rPr>
                <w:rStyle w:val="Hyperlink0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Mapa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– polityczna USA w języku angielskim.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>Mapa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>typu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 xml:space="preserve"> - Basic facts about Great Britain- 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>lub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 xml:space="preserve"> r</w:t>
            </w:r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>wnoważna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300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7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element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 typu - Sekrety elektroniki ponad 1200 eksperyment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 - lub r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wnoważny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Przyrząd do demonstracji przemiany pracy w energię wewnętrzną.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do badania rozszerzalności cieplnej.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do demonstracji przewodnictwa cieplnego.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pStyle w:val="Domylne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Przyrząd do demonstracji przewodności cieplnej różnych metali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C755E7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Rurka do demonstracji zjawiska konwekcji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Naczynia połączone różnych kształt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Krążek barw Newtona z wirownicą ręczną.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Przyrząd do rozszczepiania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światł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it-IT"/>
              </w:rPr>
              <w:t>a bia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łego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na kolory.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Zestaw 7 różnych pryzmat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 / blok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 akrylowych.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Igła magnetyczna na podstawie.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R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wnia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pochyła z wałkiem regulowana.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zek</w:t>
            </w:r>
            <w:proofErr w:type="spellEnd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 do zderzeń i obciążania.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Kołyska Newtona.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300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F05BE7" w:rsidRPr="001320E2" w:rsidTr="00746920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Alkohol etylowy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Brom (woda bromowa)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Jodyna techniczna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Kwas oleinowy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Kwas solny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74692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Fenoloftaleina </w:t>
            </w:r>
            <w:proofErr w:type="spellStart"/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>roztw</w:t>
            </w:r>
            <w:proofErr w:type="spellEnd"/>
            <w:r w:rsidRPr="001320E2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320E2">
              <w:rPr>
                <w:rStyle w:val="Hyperlink0"/>
                <w:rFonts w:ascii="Times New Roman" w:hAnsi="Times New Roman" w:cs="Times New Roman"/>
                <w:sz w:val="20"/>
                <w:szCs w:val="20"/>
              </w:rPr>
              <w:t xml:space="preserve">r alkoholowy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F05BE7" w:rsidRPr="001320E2" w:rsidTr="001320E2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sz w:val="20"/>
                <w:szCs w:val="20"/>
              </w:rPr>
              <w:t>Zbiór zadań. Chemia w zadaniach i przykładach</w:t>
            </w:r>
            <w:r w:rsidR="00595787">
              <w:rPr>
                <w:rFonts w:ascii="Times New Roman" w:hAnsi="Times New Roman" w:cs="Times New Roman"/>
                <w:sz w:val="20"/>
                <w:szCs w:val="20"/>
              </w:rPr>
              <w:t>, 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2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E7" w:rsidRPr="001320E2" w:rsidRDefault="00F05BE7" w:rsidP="00F05BE7">
            <w:pPr>
              <w:widowControl w:val="0"/>
              <w:suppressAutoHyphens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</w:tbl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134"/>
        <w:gridCol w:w="425"/>
        <w:gridCol w:w="851"/>
        <w:gridCol w:w="283"/>
        <w:gridCol w:w="709"/>
        <w:gridCol w:w="283"/>
        <w:gridCol w:w="709"/>
        <w:gridCol w:w="425"/>
        <w:gridCol w:w="567"/>
      </w:tblGrid>
      <w:tr w:rsidR="00C755E7" w:rsidRPr="001320E2" w:rsidTr="009A1BB5"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POZOSTAŁE WYPOSAŻENIE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755E7" w:rsidRPr="001320E2" w:rsidTr="009A1B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Szafa mobilna do przechowywania laptopów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pStyle w:val="NormalnyWeb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843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755E7" w:rsidRPr="001320E2" w:rsidTr="009A1BB5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Słuchawki do laptopów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843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755E7" w:rsidRPr="001320E2" w:rsidTr="009A1BB5"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OPROGRAMOWANIE BIUROWE DO LAPTOPÓW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755E7" w:rsidRPr="001320E2" w:rsidTr="009A1B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Oprogramowanie biurowe do laptopów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pStyle w:val="NormalnyWeb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843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20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E7" w:rsidRPr="001320E2" w:rsidRDefault="00C755E7" w:rsidP="001320E2">
            <w:pPr>
              <w:widowControl w:val="0"/>
              <w:suppressAutoHyphens/>
              <w:spacing w:after="0" w:line="240" w:lineRule="auto"/>
              <w:rPr>
                <w:rStyle w:val="Hyperlink0"/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CD0005" w:rsidRPr="000018C1" w:rsidTr="009A1BB5">
        <w:trPr>
          <w:trHeight w:val="638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Pr="000018C1" w:rsidRDefault="00CD0005" w:rsidP="005513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18C1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 xml:space="preserve">SUMA WSZYSTKICH POZYCJI </w:t>
            </w:r>
          </w:p>
        </w:tc>
      </w:tr>
      <w:tr w:rsidR="00CD0005" w:rsidRPr="00B97780" w:rsidTr="009A1BB5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Pr="000018C1" w:rsidRDefault="00CD0005" w:rsidP="005513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lang w:eastAsia="hi-IN" w:bidi="hi-IN"/>
              </w:rPr>
            </w:pPr>
            <w:r w:rsidRPr="000018C1"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lang w:eastAsia="hi-IN" w:bidi="hi-IN"/>
              </w:rPr>
              <w:t xml:space="preserve">Ogółem całość zadania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 w:rsidP="005513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 w:rsidP="005513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 w:rsidP="005513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 w:rsidP="005513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815D1D" w:rsidRPr="00CA3B87" w:rsidRDefault="00815D1D" w:rsidP="00815D1D">
      <w:pPr>
        <w:tabs>
          <w:tab w:val="left" w:pos="284"/>
        </w:tabs>
        <w:spacing w:after="0" w:line="240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Data</w:t>
      </w:r>
      <w:r w:rsidRPr="00CA3B87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</w:p>
    <w:p w:rsidR="00815D1D" w:rsidRPr="00CA3B87" w:rsidRDefault="00815D1D" w:rsidP="00815D1D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………….........................................................................</w:t>
      </w:r>
    </w:p>
    <w:p w:rsidR="008B3C36" w:rsidRPr="001320E2" w:rsidRDefault="00815D1D" w:rsidP="00815D1D">
      <w:pPr>
        <w:spacing w:after="0" w:line="240" w:lineRule="auto"/>
        <w:ind w:left="2835" w:right="578"/>
        <w:jc w:val="center"/>
        <w:rPr>
          <w:rFonts w:ascii="Times New Roman" w:hAnsi="Times New Roman" w:cs="Times New Roman"/>
          <w:sz w:val="20"/>
          <w:szCs w:val="20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(Podpis i pieczęć  wykonawcy/osoby uprawnionej do reprezentowania wykonawcy)</w:t>
      </w:r>
    </w:p>
    <w:sectPr w:rsidR="008B3C36" w:rsidRPr="001320E2" w:rsidSect="00607928">
      <w:headerReference w:type="default" r:id="rId11"/>
      <w:footerReference w:type="default" r:id="rId12"/>
      <w:pgSz w:w="11900" w:h="16840"/>
      <w:pgMar w:top="1417" w:right="1417" w:bottom="269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6B" w:rsidRDefault="00F03A6B">
      <w:pPr>
        <w:spacing w:after="0" w:line="240" w:lineRule="auto"/>
      </w:pPr>
      <w:r>
        <w:separator/>
      </w:r>
    </w:p>
  </w:endnote>
  <w:endnote w:type="continuationSeparator" w:id="0">
    <w:p w:rsidR="00F03A6B" w:rsidRDefault="00F0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54" w:rsidRPr="00FD3FBC" w:rsidRDefault="00551354" w:rsidP="005B7818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</w:p>
  <w:p w:rsidR="00551354" w:rsidRDefault="0055135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6B" w:rsidRDefault="00F03A6B">
      <w:pPr>
        <w:spacing w:after="0" w:line="240" w:lineRule="auto"/>
      </w:pPr>
      <w:r>
        <w:separator/>
      </w:r>
    </w:p>
  </w:footnote>
  <w:footnote w:type="continuationSeparator" w:id="0">
    <w:p w:rsidR="00F03A6B" w:rsidRDefault="00F0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54" w:rsidRDefault="00551354">
    <w:pPr>
      <w:pStyle w:val="Nagwekistopka"/>
      <w:rPr>
        <w:rFonts w:hint="eastAsia"/>
      </w:rPr>
    </w:pPr>
    <w:r>
      <w:rPr>
        <w:noProof/>
      </w:rPr>
      <w:drawing>
        <wp:inline distT="0" distB="0" distL="0" distR="0" wp14:anchorId="1E719555" wp14:editId="067A964E">
          <wp:extent cx="5756910" cy="49433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43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E6"/>
    <w:multiLevelType w:val="hybridMultilevel"/>
    <w:tmpl w:val="3E9C6B96"/>
    <w:lvl w:ilvl="0" w:tplc="BFB2A10E">
      <w:start w:val="1"/>
      <w:numFmt w:val="bullet"/>
      <w:lvlText w:val="·"/>
      <w:lvlJc w:val="left"/>
      <w:pPr>
        <w:tabs>
          <w:tab w:val="left" w:pos="720"/>
        </w:tabs>
        <w:ind w:left="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464210">
      <w:start w:val="1"/>
      <w:numFmt w:val="bullet"/>
      <w:lvlText w:val="·"/>
      <w:lvlJc w:val="left"/>
      <w:pPr>
        <w:tabs>
          <w:tab w:val="left" w:pos="720"/>
        </w:tabs>
        <w:ind w:left="1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5E1C16">
      <w:start w:val="1"/>
      <w:numFmt w:val="bullet"/>
      <w:lvlText w:val="·"/>
      <w:lvlJc w:val="left"/>
      <w:pPr>
        <w:tabs>
          <w:tab w:val="left" w:pos="720"/>
        </w:tabs>
        <w:ind w:left="2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AE7036">
      <w:start w:val="1"/>
      <w:numFmt w:val="bullet"/>
      <w:lvlText w:val="·"/>
      <w:lvlJc w:val="left"/>
      <w:pPr>
        <w:tabs>
          <w:tab w:val="left" w:pos="720"/>
        </w:tabs>
        <w:ind w:left="2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696866E">
      <w:start w:val="1"/>
      <w:numFmt w:val="bullet"/>
      <w:lvlText w:val="·"/>
      <w:lvlJc w:val="left"/>
      <w:pPr>
        <w:tabs>
          <w:tab w:val="left" w:pos="720"/>
        </w:tabs>
        <w:ind w:left="3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7C0B644">
      <w:start w:val="1"/>
      <w:numFmt w:val="bullet"/>
      <w:lvlText w:val="·"/>
      <w:lvlJc w:val="left"/>
      <w:pPr>
        <w:tabs>
          <w:tab w:val="left" w:pos="720"/>
        </w:tabs>
        <w:ind w:left="4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0B0C000">
      <w:start w:val="1"/>
      <w:numFmt w:val="bullet"/>
      <w:lvlText w:val="·"/>
      <w:lvlJc w:val="left"/>
      <w:pPr>
        <w:tabs>
          <w:tab w:val="left" w:pos="720"/>
        </w:tabs>
        <w:ind w:left="4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AB0670C">
      <w:start w:val="1"/>
      <w:numFmt w:val="bullet"/>
      <w:lvlText w:val="·"/>
      <w:lvlJc w:val="left"/>
      <w:pPr>
        <w:tabs>
          <w:tab w:val="left" w:pos="720"/>
        </w:tabs>
        <w:ind w:left="56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CAFF10">
      <w:start w:val="1"/>
      <w:numFmt w:val="bullet"/>
      <w:lvlText w:val="·"/>
      <w:lvlJc w:val="left"/>
      <w:pPr>
        <w:tabs>
          <w:tab w:val="left" w:pos="720"/>
        </w:tabs>
        <w:ind w:left="6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9C50D9A"/>
    <w:multiLevelType w:val="hybridMultilevel"/>
    <w:tmpl w:val="EA9AD076"/>
    <w:lvl w:ilvl="0" w:tplc="E97E4A9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CCF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6E0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C6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600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EAC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1A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421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A4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BF43DD"/>
    <w:multiLevelType w:val="hybridMultilevel"/>
    <w:tmpl w:val="88F49F28"/>
    <w:lvl w:ilvl="0" w:tplc="6100B7D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0A1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866C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C65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27E4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673F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E37A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A03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C7F2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A86B65"/>
    <w:multiLevelType w:val="hybridMultilevel"/>
    <w:tmpl w:val="A1B64388"/>
    <w:lvl w:ilvl="0" w:tplc="36769C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572289C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06ABD0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52D8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C9A442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2C4334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67CF9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45C549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980B25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5FA17F2B"/>
    <w:multiLevelType w:val="hybridMultilevel"/>
    <w:tmpl w:val="B03A0CF0"/>
    <w:lvl w:ilvl="0" w:tplc="A042772A">
      <w:start w:val="1"/>
      <w:numFmt w:val="bullet"/>
      <w:lvlText w:val="·"/>
      <w:lvlJc w:val="left"/>
      <w:pPr>
        <w:tabs>
          <w:tab w:val="left" w:pos="720"/>
        </w:tabs>
        <w:ind w:left="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AA2D7DE">
      <w:start w:val="1"/>
      <w:numFmt w:val="bullet"/>
      <w:lvlText w:val="·"/>
      <w:lvlJc w:val="left"/>
      <w:pPr>
        <w:tabs>
          <w:tab w:val="left" w:pos="720"/>
        </w:tabs>
        <w:ind w:left="1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2BA8A5A">
      <w:start w:val="1"/>
      <w:numFmt w:val="bullet"/>
      <w:lvlText w:val="·"/>
      <w:lvlJc w:val="left"/>
      <w:pPr>
        <w:tabs>
          <w:tab w:val="left" w:pos="720"/>
        </w:tabs>
        <w:ind w:left="2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5506706">
      <w:start w:val="1"/>
      <w:numFmt w:val="bullet"/>
      <w:lvlText w:val="·"/>
      <w:lvlJc w:val="left"/>
      <w:pPr>
        <w:tabs>
          <w:tab w:val="left" w:pos="720"/>
        </w:tabs>
        <w:ind w:left="2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104888E">
      <w:start w:val="1"/>
      <w:numFmt w:val="bullet"/>
      <w:lvlText w:val="·"/>
      <w:lvlJc w:val="left"/>
      <w:pPr>
        <w:tabs>
          <w:tab w:val="left" w:pos="720"/>
        </w:tabs>
        <w:ind w:left="3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2A7C94">
      <w:start w:val="1"/>
      <w:numFmt w:val="bullet"/>
      <w:lvlText w:val="·"/>
      <w:lvlJc w:val="left"/>
      <w:pPr>
        <w:tabs>
          <w:tab w:val="left" w:pos="720"/>
        </w:tabs>
        <w:ind w:left="4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440D5C">
      <w:start w:val="1"/>
      <w:numFmt w:val="bullet"/>
      <w:lvlText w:val="·"/>
      <w:lvlJc w:val="left"/>
      <w:pPr>
        <w:tabs>
          <w:tab w:val="left" w:pos="720"/>
        </w:tabs>
        <w:ind w:left="4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932DB62">
      <w:start w:val="1"/>
      <w:numFmt w:val="bullet"/>
      <w:lvlText w:val="·"/>
      <w:lvlJc w:val="left"/>
      <w:pPr>
        <w:tabs>
          <w:tab w:val="left" w:pos="720"/>
        </w:tabs>
        <w:ind w:left="56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70FE6A">
      <w:start w:val="1"/>
      <w:numFmt w:val="bullet"/>
      <w:lvlText w:val="·"/>
      <w:lvlJc w:val="left"/>
      <w:pPr>
        <w:tabs>
          <w:tab w:val="left" w:pos="720"/>
        </w:tabs>
        <w:ind w:left="6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70A42554"/>
    <w:multiLevelType w:val="hybridMultilevel"/>
    <w:tmpl w:val="9C2A9FC4"/>
    <w:lvl w:ilvl="0" w:tplc="A148F99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4E1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C1D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64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45B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2C5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61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8F8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CC4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8"/>
    <w:rsid w:val="00055427"/>
    <w:rsid w:val="000F3F47"/>
    <w:rsid w:val="001320E2"/>
    <w:rsid w:val="00166127"/>
    <w:rsid w:val="00252FDF"/>
    <w:rsid w:val="002F6747"/>
    <w:rsid w:val="00366CEC"/>
    <w:rsid w:val="003802C3"/>
    <w:rsid w:val="003C2A95"/>
    <w:rsid w:val="00546F30"/>
    <w:rsid w:val="00551354"/>
    <w:rsid w:val="00572178"/>
    <w:rsid w:val="00595787"/>
    <w:rsid w:val="005B7818"/>
    <w:rsid w:val="006025EE"/>
    <w:rsid w:val="00607928"/>
    <w:rsid w:val="00746920"/>
    <w:rsid w:val="007536FE"/>
    <w:rsid w:val="00777EE9"/>
    <w:rsid w:val="00815D1D"/>
    <w:rsid w:val="00837E25"/>
    <w:rsid w:val="0084342D"/>
    <w:rsid w:val="00864107"/>
    <w:rsid w:val="008B0A74"/>
    <w:rsid w:val="008B3C36"/>
    <w:rsid w:val="008E1B12"/>
    <w:rsid w:val="00910C3C"/>
    <w:rsid w:val="009A1BB5"/>
    <w:rsid w:val="009F4F3A"/>
    <w:rsid w:val="00A16EF6"/>
    <w:rsid w:val="00A52B95"/>
    <w:rsid w:val="00AF20B1"/>
    <w:rsid w:val="00BA7050"/>
    <w:rsid w:val="00C062C0"/>
    <w:rsid w:val="00C7136C"/>
    <w:rsid w:val="00C755E7"/>
    <w:rsid w:val="00CD0005"/>
    <w:rsid w:val="00D51E65"/>
    <w:rsid w:val="00D7622B"/>
    <w:rsid w:val="00DA3F08"/>
    <w:rsid w:val="00E47350"/>
    <w:rsid w:val="00ED4351"/>
    <w:rsid w:val="00EE516B"/>
    <w:rsid w:val="00F03A6B"/>
    <w:rsid w:val="00F05BE7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882F6-0530-48AB-8B56-72F217E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styleId="Nagwek4">
    <w:name w:val="heading 4"/>
    <w:next w:val="Normalny"/>
    <w:pPr>
      <w:keepNext/>
      <w:keepLines/>
      <w:spacing w:before="40" w:line="276" w:lineRule="auto"/>
      <w:outlineLvl w:val="3"/>
    </w:pPr>
    <w:rPr>
      <w:rFonts w:ascii="Calibri Light" w:eastAsia="Calibri Light" w:hAnsi="Calibri Light" w:cs="Calibri Light"/>
      <w:i/>
      <w:iCs/>
      <w:color w:val="2E74B5"/>
      <w:sz w:val="22"/>
      <w:szCs w:val="2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</w:style>
  <w:style w:type="paragraph" w:styleId="NormalnyWeb">
    <w:name w:val="Normal (Web)"/>
    <w:uiPriority w:val="99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styleId="Pogrubienie">
    <w:name w:val="Strong"/>
    <w:basedOn w:val="Domylnaczcionkaakapitu"/>
    <w:uiPriority w:val="22"/>
    <w:qFormat/>
    <w:rsid w:val="00A16EF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8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B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8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5B78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F3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zaskielce.pl/index.php/nasza-oferta/pomoce-szkolne/matematyka/przyrzady-tablicowe/tablica-z-przyrzadami-plastikowymi-magnetyczna-poziom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ezaskielce.pl/index.php/nasza-oferta/pomoce-szkolne/matematyka/przyrzady-tablicowe/zegar-demonstracyjny-trojtarczow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zaskielce.pl/index.php/nasza-oferta/pomoce-szkolne/matematyka/przyrzady-tablicowe/siatki-bryl-i-figury-plaski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F82C-CE93-4AC9-8563-D5379CBD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Radzanów</dc:creator>
  <cp:lastModifiedBy>Urząd Gminy Radzanów</cp:lastModifiedBy>
  <cp:revision>18</cp:revision>
  <cp:lastPrinted>2019-03-19T11:06:00Z</cp:lastPrinted>
  <dcterms:created xsi:type="dcterms:W3CDTF">2019-03-19T11:07:00Z</dcterms:created>
  <dcterms:modified xsi:type="dcterms:W3CDTF">2019-03-20T14:34:00Z</dcterms:modified>
</cp:coreProperties>
</file>